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Segoe UI" w:hAnsi="Segoe UI"/>
          <w:b/>
          <w:color w:val="0F2C59"/>
          <w:sz w:val="40"/>
        </w:rPr>
        <w:t>MASTER INTERVIEW REVISION GUIDE &amp; TECHNICAL CHEAT SHEET</w:t>
      </w:r>
    </w:p>
    <w:p>
      <w:pPr>
        <w:spacing w:before="0" w:after="280"/>
      </w:pPr>
      <w:r>
        <w:rPr>
          <w:rFonts w:ascii="Calibri" w:hAnsi="Calibri"/>
          <w:i/>
          <w:color w:val="64748B"/>
          <w:sz w:val="22"/>
        </w:rPr>
        <w:t>Position: Network Engineer  |  Company: ESCA Trading &amp; Engineering Services SNC  |  Candidate: Muhammad Ainul Fitiri bin Muhammad Jasni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1. Candidate Executive Summary &amp; Natural Introduction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1.1 Authentic 'Tell Me About Yourself' Script</w:t>
      </w:r>
    </w:p>
    <w:p>
      <w:pPr>
        <w:spacing w:before="60" w:after="80" w:line="276" w:lineRule="auto"/>
      </w:pPr>
      <w:r>
        <w:rPr>
          <w:rFonts w:ascii="Calibri" w:hAnsi="Calibri"/>
          <w:b w:val="0"/>
          <w:i/>
          <w:color w:val="1E293B"/>
          <w:sz w:val="21"/>
        </w:rPr>
        <w:t>Deliver this naturally and conversationally. Do not pretend to be solely a traditional router/switch technician; instead, showcase your full 7+ year progression from physical infrastructure to enterprise operations, IAM/PKI, SOC incident engineering, and multi-campus network perimeter management: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1F5F9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left w:val="single" w:sz="36" w:space="0" w:color="0284C7"/>
              <w:top w:val="none"/>
              <w:right w:val="none"/>
              <w:bottom w:val="none"/>
            </w:tcBorders>
          </w:tcPr>
          <w:p>
            <w:pPr>
              <w:spacing w:before="40" w:after="40" w:line="276" w:lineRule="auto"/>
            </w:pPr>
            <w:r>
              <w:rPr>
                <w:rFonts w:ascii="Calibri" w:hAnsi="Calibri"/>
                <w:b/>
                <w:color w:val="0284C7"/>
                <w:sz w:val="21"/>
              </w:rPr>
              <w:t>📌 Elevator Pitch Script (Verbatim Talking Points)</w:t>
              <w:br/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"Thank you for having me today. My name is Ainul, and I have over 7 years of hands-on experience across IT infrastructure, enterprise networking, and cybersecurity operations here in Brunei and supporting international environments.</w:t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My career began right at the physical layer: back in 2018 and 2019, I was doing hands-on fiber optic cabling, POS hardware setups, and data center cabling upgrades with Sistem Integra and Falah-Tek. That gave me an appreciation for the foundational physical and data link layers of networking.</w:t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I then spent several years with DXC Technology supporting major enterprise environments including Brunei Shell Petroleum (BSP). In those roles, I handled enterprise customer support, disaster recovery operations, and later advanced into Identity &amp; Access Management (IAM) and SOC analysis. I specialized in Kerberos, PKI certificate lifecycles, SAML/SSO integrations, and security log analysis in Splunk.</w:t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Over the next few years, I worked with Eventus Security assigned to ITPSS and EVYD Technology as a Cybersecurity Operations Engineer, where I deployed and tuned Microsoft Sentinel SIEM, firewalls, WAF, and Trend Micro XDR, and served as the ISMS Management Representative leading ISO 27001 implementation. I also consulted remotely for Halian International supporting Propertyfinder UAE, automating cloud infrastructure and VPC network security in AWS.</w:t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Currently, I am the Senior IT Technician and primary Cybersecurity Engineer at International School Brunei (ISB). In this role, I manage network security operations, controls, and incident response for over 1,100 students and 350 staff across multiple campuses. A major part of my daily responsibility is operating our Barracuda next-generation firewalls, Web Security Gateways, secure VPN tunnels, and driving our campus wireless perimeter security—specifically deploying certificate-based 802.1X EAP-TLS Wi-Fi authentication using Microsoft Intune and enterprise PKI.</w:t>
            </w:r>
          </w:p>
          <w:p>
            <w:pPr>
              <w:spacing w:before="40" w:after="40" w:line="276" w:lineRule="auto"/>
            </w:pPr>
            <w:r>
              <w:rPr>
                <w:rFonts w:ascii="Calibri" w:hAnsi="Calibri"/>
                <w:color w:val="1E293B"/>
                <w:sz w:val="20"/>
              </w:rPr>
              <w:t>What brings me to ESCA is your engineering reputation in Brunei. As a Bruneian local, I am looking to bring my deep background in network perimeter defense, firewall administration, PKI-driven network access control, and incident troubleshooting into your Network Engineering team to design, deploy, and maintain highly secure and resilient enterprise network infrastructure."</w:t>
            </w:r>
          </w:p>
        </w:tc>
      </w:tr>
    </w:tbl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1.2 Strategic Framing for Critical Interview Questions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Q1: Why apply for a Network Engineer role when your title is Cybersecurity?: </w:t>
      </w:r>
      <w:r>
        <w:rPr>
          <w:rFonts w:ascii="Calibri" w:hAnsi="Calibri"/>
          <w:color w:val="334155"/>
          <w:sz w:val="21"/>
        </w:rPr>
        <w:t>"In modern enterprise engineering, networking and security can no longer be siloed. A network that isn't secure is a liability, and security tools can't function effectively without deep knowledge of TCP/IP, routing, switching, packet flow, and VLAN segmentation. My cybersecurity and incident engineering background makes me a better Network Engineer because I don't just configure routes and ports; I design resilient networks with root-cause troubleshooting, high availability, and zero-trust perimeter defense in mind."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Q2: The poster asks for a Bachelor's Degree and CCNA; you hold a Level 5 Diploma and ITIL v4. How does that compare?: </w:t>
      </w:r>
      <w:r>
        <w:rPr>
          <w:rFonts w:ascii="Calibri" w:hAnsi="Calibri"/>
          <w:color w:val="334155"/>
          <w:sz w:val="21"/>
        </w:rPr>
        <w:t>"I graduated with a Level 5 Diploma in Information Systems from Politeknik Brunei, and since then I have built 7 continuous years of hands-on, production experience across enterprise data centers, DXC Technology, ITPSS, EVYD, and International School Brunei. Certifications like CCNA validate theoretical fundamentals, but my day-to-day work involves directly configuring production firewalls, IPsec VPN tunnels, 802.1Q trunking, dynamic VLANs, RADIUS 802.1X authentication, and packet analysis with Wireshark. Furthermore, I am eager and prepared to sit for vendor certifications like CCNA as part of my professional milestones at ESCA."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Q3: What advantage do you bring as a Bruneian local?: </w:t>
      </w:r>
      <w:r>
        <w:rPr>
          <w:rFonts w:ascii="Calibri" w:hAnsi="Calibri"/>
          <w:color w:val="334155"/>
          <w:sz w:val="21"/>
        </w:rPr>
        <w:t>"Being a Bruneian local means I am physically on the ground, immediately available for on-site emergencies, maintenance windows, and physical data center dispatch. I understand the local enterprise landscape, telecommunications providers (such as UNN), regulatory compliance frameworks like Brunei's PDPO and ISO 27001, and can communicate seamlessly with cross-functional Bruneian teams, clients, and technical stakeholders."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2. ESCA Job Poster Alignment Matrix</w:t>
      </w:r>
    </w:p>
    <w:p>
      <w:pPr>
        <w:spacing w:before="60" w:after="80" w:line="276" w:lineRule="auto"/>
      </w:pPr>
      <w:r>
        <w:rPr>
          <w:rFonts w:ascii="Calibri" w:hAnsi="Calibri"/>
          <w:b w:val="0"/>
          <w:i w:val="0"/>
          <w:color w:val="1E293B"/>
          <w:sz w:val="21"/>
        </w:rPr>
        <w:t>Every requirement and responsibility from the ESCA Trading &amp; Engineering Services SNC job poster mapped directly to your proven track record: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2880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ESCA Job Requirement / Responsibility</w:t>
            </w:r>
          </w:p>
        </w:tc>
        <w:tc>
          <w:tcPr>
            <w:tcW w:type="dxa" w:w="3600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Ainul's Direct CV Experience &amp; Proof Points</w:t>
            </w:r>
          </w:p>
        </w:tc>
        <w:tc>
          <w:tcPr>
            <w:tcW w:type="dxa" w:w="3312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How to Articulate in the Interview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Minimum 5 years experience managing network infrastructure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7+ years total experience across enterprise environments: Falah-Tek (2019), DXC (2019-2021 &amp; 2023-2025), ITPSS (2021-2022), EVYD (2022-2023), Halian (2025), ISB (2026-Present).</w:t>
            </w:r>
          </w:p>
        </w:tc>
        <w:tc>
          <w:tcPr>
            <w:tcW w:type="dxa" w:w="331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Highlight your journey from physical cabling to enterprise operations, IAM/PKI, and multi-campus perimeter management.</w:t>
            </w:r>
          </w:p>
        </w:tc>
      </w:tr>
      <w:tr>
        <w:tc>
          <w:tcPr>
            <w:tcW w:type="dxa" w:w="288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Deep understanding of networking concepts (TCP/IP, routing, security principles)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Daily administration of IP subnets, VLANs, inter-VLAN routing, NAT/PAT, DNS/DHCP, and Zero Trust access controls across 1,100+ students and 350+ staff at ISB.</w:t>
            </w:r>
          </w:p>
        </w:tc>
        <w:tc>
          <w:tcPr>
            <w:tcW w:type="dxa" w:w="331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Emphasize your practical command of TCP/IP state tracking, subnet design, 802.1Q trunking, and least-privilege Zero Trust segmentation.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Proficiency in firewall config, IDS/IPS, and VPN technologies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Primary administrator of Barracuda Next-Generation Firewalls, Web Security Gateways, and secure IPsec/SSL VPN tunnels at ISB; WAF and cloud firewalls at EVYD and Propertyfinder.</w:t>
            </w:r>
          </w:p>
        </w:tc>
        <w:tc>
          <w:tcPr>
            <w:tcW w:type="dxa" w:w="331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Discuss stateful rule configuration, AppID signatures, SSL deep packet inspection, and terminating site-to-site IPsec &amp; remote access VPNs.</w:t>
            </w:r>
          </w:p>
        </w:tc>
      </w:tr>
      <w:tr>
        <w:tc>
          <w:tcPr>
            <w:tcW w:type="dxa" w:w="288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Network monitoring and analysis tools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Practical packet inspection with Wireshark and CLI tools (tcpdump); enterprise log correlation using Splunk, Elasticsearch SIEM, and Microsoft Sentinel.</w:t>
            </w:r>
          </w:p>
        </w:tc>
        <w:tc>
          <w:tcPr>
            <w:tcW w:type="dxa" w:w="331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Explain how you capture packets, inspect TCP flags/retransmissions, and correlate logs in SIEM during high-impact outages.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Install, configure, and maintain hardware (routers, switches, firewalls, VPNs)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Campus network hardware management at ISB; earlier data center and fiber optic infrastructure at Sistem Integra and Falah-Tek.</w:t>
            </w:r>
          </w:p>
        </w:tc>
        <w:tc>
          <w:tcPr>
            <w:tcW w:type="dxa" w:w="331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Highlight physical and logical expertise: fiber termination, rack installs, switch provisioning, trunking, and scheduled firmware patching.</w:t>
            </w:r>
          </w:p>
        </w:tc>
      </w:tr>
      <w:tr>
        <w:tc>
          <w:tcPr>
            <w:tcW w:type="dxa" w:w="288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Vulnerability assessments and incident investigation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Hands-on vulnerability scanning using Nessus at DXC and EVYD; incident investigation and containment across endpoint, network, and cloud at ISB and ITPSS.</w:t>
            </w:r>
          </w:p>
        </w:tc>
        <w:tc>
          <w:tcPr>
            <w:tcW w:type="dxa" w:w="331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Walk through conducting Nessus scans, prioritizing remediation, and executing switch-port isolation / dynamic VLAN quarantine.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Security policies, compliance, and documentation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ISO 27001 ISMS Management Representative at EVYD; developing cybersecurity policies, tabletop exercises, and PDPO compliance procedures at ISB.</w:t>
            </w:r>
          </w:p>
        </w:tc>
        <w:tc>
          <w:tcPr>
            <w:tcW w:type="dxa" w:w="331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Discuss leading ISO 27001 certification audits and writing network SOPs, DR runbooks, and Brunei PDPO policies.</w:t>
            </w:r>
          </w:p>
        </w:tc>
      </w:tr>
    </w:tbl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3. Core Deep Dive 1: Barracuda Next-Gen Firewalls (NGFW) &amp; Web Security Gateways (WSG)</w:t>
      </w:r>
    </w:p>
    <w:p>
      <w:pPr>
        <w:spacing w:before="16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_network_perimeter_topolog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hAnsi="Calibri"/>
          <w:i/>
          <w:color w:val="64748B"/>
          <w:sz w:val="19"/>
        </w:rPr>
        <w:t>Figure 1: Enterprise Network Perimeter Architecture &amp; High Availability Topology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3.1 Barracuda NGFW Packet Inspection Pipeline</w:t>
      </w:r>
    </w:p>
    <w:p>
      <w:pPr>
        <w:spacing w:before="60" w:after="80" w:line="276" w:lineRule="auto"/>
      </w:pPr>
      <w:r>
        <w:rPr>
          <w:rFonts w:ascii="Calibri" w:hAnsi="Calibri"/>
          <w:b w:val="0"/>
          <w:i w:val="0"/>
          <w:color w:val="1E293B"/>
          <w:sz w:val="21"/>
        </w:rPr>
        <w:t>When a packet arrives at an interface on a Barracuda CloudGen / Next-Gen Firewall, it traverses an 8-stage inspection engine: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1. Ingress &amp; uRPF Check: </w:t>
      </w:r>
      <w:r>
        <w:rPr>
          <w:rFonts w:ascii="Calibri" w:hAnsi="Calibri"/>
          <w:color w:val="334155"/>
          <w:sz w:val="21"/>
        </w:rPr>
        <w:t>Validates Reverse Path Forwarding to verify that the source IP matches the routing table and prevents IP spoofing.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2. State Table Lookup: </w:t>
      </w:r>
      <w:r>
        <w:rPr>
          <w:rFonts w:ascii="Calibri" w:hAnsi="Calibri"/>
          <w:color w:val="334155"/>
          <w:sz w:val="21"/>
        </w:rPr>
        <w:t>Checks existing connection tracking table. Established sessions bypass rule re-evaluation.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3. DNAT (Destination NAT): </w:t>
      </w:r>
      <w:r>
        <w:rPr>
          <w:rFonts w:ascii="Calibri" w:hAnsi="Calibri"/>
          <w:color w:val="334155"/>
          <w:sz w:val="21"/>
        </w:rPr>
        <w:t>Translates public destination IP to internal private IP before security rule evaluation.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4. Firewall Rule Evaluation: </w:t>
      </w:r>
      <w:r>
        <w:rPr>
          <w:rFonts w:ascii="Calibri" w:hAnsi="Calibri"/>
          <w:color w:val="334155"/>
          <w:sz w:val="21"/>
        </w:rPr>
        <w:t>Evaluated top-to-bottom, first-match based on Source, Destination, Service, Time Schedule, and Identity.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5. Application Control (AppID): </w:t>
      </w:r>
      <w:r>
        <w:rPr>
          <w:rFonts w:ascii="Calibri" w:hAnsi="Calibri"/>
          <w:color w:val="334155"/>
          <w:sz w:val="21"/>
        </w:rPr>
        <w:t>DPI engine inspects payloads to identify applications regardless of port (e.g. detects Tor or BitTorrent running over port 443).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6. IPS &amp; Threat Protection: </w:t>
      </w:r>
      <w:r>
        <w:rPr>
          <w:rFonts w:ascii="Calibri" w:hAnsi="Calibri"/>
          <w:color w:val="334155"/>
          <w:sz w:val="21"/>
        </w:rPr>
        <w:t>Scans against Snort/Barracuda vulnerability signatures, shellcode exploits, and C2 IP lists.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7. Source NAT (SNAT): </w:t>
      </w:r>
      <w:r>
        <w:rPr>
          <w:rFonts w:ascii="Calibri" w:hAnsi="Calibri"/>
          <w:color w:val="334155"/>
          <w:sz w:val="21"/>
        </w:rPr>
        <w:t>Translates internal RFC 1918 private IPs to public WAN IPs for outbound egress.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8. Egress Routing: </w:t>
      </w:r>
      <w:r>
        <w:rPr>
          <w:rFonts w:ascii="Calibri" w:hAnsi="Calibri"/>
          <w:color w:val="334155"/>
          <w:sz w:val="21"/>
        </w:rPr>
        <w:t>Transmits the packet out the designated egress interface.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3.2 SSL/TLS Deep Packet Inspection (SSL Interception)</w:t>
      </w:r>
    </w:p>
    <w:p>
      <w:pPr>
        <w:spacing w:before="60" w:after="80" w:line="276" w:lineRule="auto"/>
      </w:pPr>
      <w:r>
        <w:rPr>
          <w:rFonts w:ascii="Calibri" w:hAnsi="Calibri"/>
          <w:b w:val="0"/>
          <w:i w:val="0"/>
          <w:color w:val="1E293B"/>
          <w:sz w:val="21"/>
        </w:rPr>
        <w:t>How to explain SSL inspection in the interview without causing browser warnings or breaking critical applications: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Root CA Installation: </w:t>
      </w:r>
      <w:r>
        <w:rPr>
          <w:rFonts w:ascii="Calibri" w:hAnsi="Calibri"/>
          <w:color w:val="334155"/>
          <w:sz w:val="21"/>
        </w:rPr>
        <w:t>Barracuda's Subordinate/Enterprise CA certificate is distributed to all Windows and iPad endpoints via Microsoft Intune / GPO into the Trusted Root Certification Authorities store.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Man-in-the-Middle Termination: </w:t>
      </w:r>
      <w:r>
        <w:rPr>
          <w:rFonts w:ascii="Calibri" w:hAnsi="Calibri"/>
          <w:color w:val="334155"/>
          <w:sz w:val="21"/>
        </w:rPr>
        <w:t>When an endpoint visits an HTTPS site, Barracuda intercepts the TLS Client Hello, connects to the destination server independently, inspects the external certificate, and issues an on-the-fly certificate signed by the Barracuda Root CA back to the client.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Payload Decryption &amp; Re-encryption: </w:t>
      </w:r>
      <w:r>
        <w:rPr>
          <w:rFonts w:ascii="Calibri" w:hAnsi="Calibri"/>
          <w:color w:val="334155"/>
          <w:sz w:val="21"/>
        </w:rPr>
        <w:t>The firewall decrypts the traffic, applies antivirus, IPS signatures, and URL filtering, then re-encrypts the stream.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Mandatory Bypass Lists: </w:t>
      </w:r>
      <w:r>
        <w:rPr>
          <w:rFonts w:ascii="Calibri" w:hAnsi="Calibri"/>
          <w:color w:val="334155"/>
          <w:sz w:val="21"/>
        </w:rPr>
        <w:t>Finance/Banking (Baiduri, BIBD), Healthcare, and apps with Certificate Pinning (Apple Updates, Microsoft 365 licensing) MUST be bypassed to avoid breaking connections and violating privacy laws.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3.3 Web Security Gateway (WSG) &amp; Bandwidth Shaping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Category Filtering: </w:t>
      </w:r>
      <w:r>
        <w:rPr>
          <w:rFonts w:ascii="Calibri" w:hAnsi="Calibri"/>
          <w:color w:val="334155"/>
          <w:sz w:val="21"/>
        </w:rPr>
        <w:t>Blocking Malicious/Phishing, Gambling, P2P, and Anonymizer/Proxy categories. Enforcing time-based rules for social media.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SafeSearch &amp; YouTube Restrictions: </w:t>
      </w:r>
      <w:r>
        <w:rPr>
          <w:rFonts w:ascii="Calibri" w:hAnsi="Calibri"/>
          <w:color w:val="334155"/>
          <w:sz w:val="21"/>
        </w:rPr>
        <w:t>Injecting 'YouTube-Restrict: Strict' HTTP headers into outbound requests and rewriting DNS CNAMEs for Google search.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QoS Traffic Shaping: </w:t>
      </w:r>
      <w:r>
        <w:rPr>
          <w:rFonts w:ascii="Calibri" w:hAnsi="Calibri"/>
          <w:color w:val="334155"/>
          <w:sz w:val="21"/>
        </w:rPr>
        <w:t>Guaranteed bandwidth allocated to administrative VLANs and VoIP (SIP 5060, RTP); throttling student/guest streaming.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3.4 Barracuda Live Troubleshooting Playbook</w:t>
      </w:r>
    </w:p>
    <w:p>
      <w:pPr>
        <w:spacing w:before="60" w:after="80" w:line="276" w:lineRule="auto"/>
      </w:pPr>
      <w:r>
        <w:rPr>
          <w:rFonts w:ascii="Calibri" w:hAnsi="Calibri"/>
          <w:b w:val="0"/>
          <w:i w:val="0"/>
          <w:color w:val="1E293B"/>
          <w:sz w:val="21"/>
        </w:rPr>
        <w:t>Step-by-step diagnostic workflow during an outage: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40" w:after="40" w:line="252" w:lineRule="auto"/>
            </w:pPr>
            <w:r>
              <w:rPr>
                <w:rFonts w:ascii="Consolas" w:hAnsi="Consolas"/>
                <w:color w:val="E2E8F0"/>
                <w:sz w:val="19"/>
              </w:rPr>
              <w:t>1. Open Barracuda Live Log / Firewall Activity.</w:t>
              <w:br/>
              <w:t>2. Filter: Source IP = &lt;client_IP&gt; AND Destination IP = &lt;target_IP&gt;.</w:t>
              <w:br/>
              <w:t>3. Interpret Action Column:</w:t>
              <w:br/>
              <w:t xml:space="preserve">   - PASS: Firewall allows traffic. Problem is upstream (ISP/routing) or server-side.</w:t>
              <w:br/>
              <w:t xml:space="preserve">   - DROP - NO RULE MATCH: Hit default cleanup rule; write explicit forwarding rule.</w:t>
              <w:br/>
              <w:t xml:space="preserve">   - DROP - APP CONTROL: Application signature blocked (e.g. proxy bypass tool).</w:t>
              <w:br/>
              <w:t xml:space="preserve">   - DROP - IPS: Attack signature triggered; inspect false positive threshold.</w:t>
              <w:br/>
              <w:t>4. CLI Diagnostics (SSH into Barracuda console -&gt; 'phion' subsystem):</w:t>
              <w:br/>
              <w:t xml:space="preserve">   # phion sessions</w:t>
              <w:br/>
              <w:t xml:space="preserve">   # phion connection list | grep &lt;client_IP&gt;</w:t>
              <w:br/>
              <w:t xml:space="preserve">   # tcpdump -i eth0 host &lt;client_IP&gt; and port 443 -nn</w:t>
              <w:br/>
              <w:t xml:space="preserve">   # ip route show</w:t>
            </w:r>
          </w:p>
        </w:tc>
      </w:tr>
    </w:tbl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4. Core Deep Dive 2: Secure VPN Tunnels (Site-to-Site &amp; Client-to-Site)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4.1 Site-to-Site IPsec VPN Mechanics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IKE Phase 1 (ISAKMP SA): </w:t>
      </w:r>
      <w:r>
        <w:rPr>
          <w:rFonts w:ascii="Calibri" w:hAnsi="Calibri"/>
          <w:color w:val="334155"/>
          <w:sz w:val="21"/>
        </w:rPr>
        <w:t>Authenticates tunnel peers and establishes a secure management tunnel. Parameters that MUST match: Encryption (AES-256-GCM), Hash (SHA-256), Diffie-Hellman Group (Group 14 2048-bit or Group 19 ECC), Authentication (PSK or X.509 cert), and Lifetime (28800s). Uses UDP port 500 or UDP port 4500 (NAT-Traversal).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IKE Phase 2 (IPsec SA / Quick Mode): </w:t>
      </w:r>
      <w:r>
        <w:rPr>
          <w:rFonts w:ascii="Calibri" w:hAnsi="Calibri"/>
          <w:color w:val="334155"/>
          <w:sz w:val="21"/>
        </w:rPr>
        <w:t>Negotiates user data encryption parameters using ESP (Encapsulating Security Payload - IP Protocol 50). Perfect Forward Secrecy (PFS) forces a new DH exchange for every rekey. Proxy IDs (Local Subnet &lt;-&gt; Remote Subnet) must match exactly.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Route-Based (VTI) vs Policy-Based: </w:t>
      </w:r>
      <w:r>
        <w:rPr>
          <w:rFonts w:ascii="Calibri" w:hAnsi="Calibri"/>
          <w:color w:val="334155"/>
          <w:sz w:val="21"/>
        </w:rPr>
        <w:t>Route-Based uses Virtual Tunnel Interfaces (vti0) and allows running dynamic routing protocols like OSPF and BGP across the tunnel, whereas policy-based relies strictly on static ACLs.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4.2 VPN Troubleshooting Diagnostic Table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168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Symptom / Error Code</w:t>
            </w:r>
          </w:p>
        </w:tc>
        <w:tc>
          <w:tcPr>
            <w:tcW w:type="dxa" w:w="3168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Likely Root Cause</w:t>
            </w:r>
          </w:p>
        </w:tc>
        <w:tc>
          <w:tcPr>
            <w:tcW w:type="dxa" w:w="3456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Exact Resolution Action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Phase 1 Down: NO_PROPOSAL_CHOSEN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Mismatched encryption cipher, hash algorithm, or DH group.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Compare Phase 1 proposals side-by-side (e.g. verify AES-256 vs AES-128, SHA-256 vs SHA-1).</w:t>
            </w:r>
          </w:p>
        </w:tc>
      </w:tr>
      <w:tr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Phase 1 Down: AUTHENTICATION_FAILED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Incorrect Pre-Shared Key (PSK) or peer IP mismatch.</w:t>
            </w:r>
          </w:p>
        </w:tc>
        <w:tc>
          <w:tcPr>
            <w:tcW w:type="dxa" w:w="345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Re-enter PSK on both firewalls to eliminate whitespace/typo errors. Verify peer IP.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Phase 1 Down: PEER_NOT_RESPONDING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Traffic blocked upstream by ISP or intermediate firewall.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Ensure UDP 500 (IKE) and UDP 4500 (NAT-T) are allowed through intermediate firewalls.</w:t>
            </w:r>
          </w:p>
        </w:tc>
      </w:tr>
      <w:tr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Phase 1 UP, Phase 2 Down: PROPOSAL_MISMATCH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Mismatched ESP encryption or PFS DH group setting.</w:t>
            </w:r>
          </w:p>
        </w:tc>
        <w:tc>
          <w:tcPr>
            <w:tcW w:type="dxa" w:w="345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Align Phase 2 crypto proposals and ensure PFS is enabled on both sides.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Phase 1 UP, Phase 2 Down: INVALID_TRAFFIC_SELECTOR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Proxy ID / encryption domain subnet mismatch.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Ensure Local Subnet on Site A equals Remote Subnet on Site B exactly (e.g. /24 vs /16).</w:t>
            </w:r>
          </w:p>
        </w:tc>
      </w:tr>
      <w:tr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Tunnel UP, but no traffic flows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Missing route, firewall policy blocking zone, or MTU black hole.</w:t>
            </w:r>
          </w:p>
        </w:tc>
        <w:tc>
          <w:tcPr>
            <w:tcW w:type="dxa" w:w="345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1. Check routing table.</w:t>
              <w:br/>
              <w:t>2. Verify firewall rule allowing VPN-to-LAN.</w:t>
              <w:br/>
              <w:t>3. Configure TCP MSS Clamping to 1360-1400.</w:t>
            </w:r>
          </w:p>
        </w:tc>
      </w:tr>
    </w:tbl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4.3 Client-to-Site Remote Access VPN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Authentication: </w:t>
      </w:r>
      <w:r>
        <w:rPr>
          <w:rFonts w:ascii="Calibri" w:hAnsi="Calibri"/>
          <w:color w:val="334155"/>
          <w:sz w:val="21"/>
        </w:rPr>
        <w:t>Multi-Factor Authentication (MFA) integrated with Microsoft Entra ID via SAML 2.0 or RADIUS.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Split-Tunnel vs Full-Tunnel: </w:t>
      </w:r>
      <w:r>
        <w:rPr>
          <w:rFonts w:ascii="Calibri" w:hAnsi="Calibri"/>
          <w:color w:val="334155"/>
          <w:sz w:val="21"/>
        </w:rPr>
        <w:t>Split-tunneling sends only corporate IP subnets (10.0.0.0/8) over the VPN, conserving corporate bandwidth; Full-tunneling forces 100% of traffic through the firewall for maximum security posture.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Client Posture Checking: </w:t>
      </w:r>
      <w:r>
        <w:rPr>
          <w:rFonts w:ascii="Calibri" w:hAnsi="Calibri"/>
          <w:color w:val="334155"/>
          <w:sz w:val="21"/>
        </w:rPr>
        <w:t>Barracuda Network Access Client validates endpoint OS patch level, domain membership, and antivirus state before granting tunnel access.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5. Core Deep Dive 3: 802.1X Certificate-Based EAP-TLS Wi-Fi Authentication</w:t>
      </w:r>
    </w:p>
    <w:p>
      <w:pPr>
        <w:spacing w:before="16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p_tls_wifi_authentication_flow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hAnsi="Calibri"/>
          <w:i/>
          <w:color w:val="64748B"/>
          <w:sz w:val="19"/>
        </w:rPr>
        <w:t>Figure 2: 802.1X Certificate-Based EAP-TLS Wi-Fi Protocol &amp; Handshake Flow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5.1 Why EAP-TLS Replaces PSK and PEAP-MSCHAPv2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160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304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Credentials Used</w:t>
            </w:r>
          </w:p>
        </w:tc>
        <w:tc>
          <w:tcPr>
            <w:tcW w:type="dxa" w:w="3168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Vulnerabilities</w:t>
            </w:r>
          </w:p>
        </w:tc>
        <w:tc>
          <w:tcPr>
            <w:tcW w:type="dxa" w:w="2160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Enterprise Suitability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WPA2-PSK</w:t>
            </w:r>
          </w:p>
        </w:tc>
        <w:tc>
          <w:tcPr>
            <w:tcW w:type="dxa" w:w="230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Shared passphrase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Passphrase leaks instantly; no per-user auditing; vulnerable to dictionary cracking.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Unsuitable for campus/enterprise networks.</w:t>
            </w:r>
          </w:p>
        </w:tc>
      </w:tr>
      <w:tr>
        <w:tc>
          <w:tcPr>
            <w:tcW w:type="dxa" w:w="216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WPA2-PEAP (MSCHAPv2)</w:t>
            </w:r>
          </w:p>
        </w:tc>
        <w:tc>
          <w:tcPr>
            <w:tcW w:type="dxa" w:w="2304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AD Username &amp; Password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Vulnerable to Evil Twin attacks; rogue AP steals MSCHAPv2 hashes for offline cracking.</w:t>
            </w:r>
          </w:p>
        </w:tc>
        <w:tc>
          <w:tcPr>
            <w:tcW w:type="dxa" w:w="216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High risk of credential harvesting.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802.1X EAP-TLS</w:t>
            </w:r>
          </w:p>
        </w:tc>
        <w:tc>
          <w:tcPr>
            <w:tcW w:type="dxa" w:w="230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X.509 Digital Certificates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Zero password transmission. Private keys locked in hardware TPM / Secure Enclave.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Gold standard. Immune to Evil Twin attacks and password phishing.</w:t>
            </w:r>
          </w:p>
        </w:tc>
      </w:tr>
    </w:tbl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5.2 End-to-End EAP-TLS Deployment Architecture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1. Enterprise PKI (AD CS): </w:t>
      </w:r>
      <w:r>
        <w:rPr>
          <w:rFonts w:ascii="Calibri" w:hAnsi="Calibri"/>
          <w:color w:val="334155"/>
          <w:sz w:val="21"/>
        </w:rPr>
        <w:t>Configures Certificate Templates with Client Authentication EKU (OID: 1.3.6.1.5.5.7.3.2) and validity period.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2. Microsoft Intune &amp; SCEP / NDES: </w:t>
      </w:r>
      <w:r>
        <w:rPr>
          <w:rFonts w:ascii="Calibri" w:hAnsi="Calibri"/>
          <w:color w:val="334155"/>
          <w:sz w:val="21"/>
        </w:rPr>
        <w:t>NDES acts as registration authority; Intune pushes Trusted Root CA and SCEP profiles to Windows laptops and supervised iPads silently.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3. Windows NPS (RADIUS Server): </w:t>
      </w:r>
      <w:r>
        <w:rPr>
          <w:rFonts w:ascii="Calibri" w:hAnsi="Calibri"/>
          <w:color w:val="334155"/>
          <w:sz w:val="21"/>
        </w:rPr>
        <w:t>Configured with Server Authentication certificate (EKU: 1.3.6.1.5.5.7.3.1) and Network Policy enforcing EAP-TLS.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4. Dynamic VLAN Assignment: </w:t>
      </w:r>
      <w:r>
        <w:rPr>
          <w:rFonts w:ascii="Calibri" w:hAnsi="Calibri"/>
          <w:color w:val="334155"/>
          <w:sz w:val="21"/>
        </w:rPr>
        <w:t>RADIUS returns standard attributes: Tunnel-Type = 13 (VLAN), Tunnel-Medium-Type = 6 (802), Tunnel-Private-Group-ID = &lt;VLAN_ID&gt; (Staff vs Student VLAN).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5.3 Troubleshooting EAP-TLS &amp; Windows NPS</w:t>
      </w:r>
    </w:p>
    <w:p>
      <w:pPr>
        <w:spacing w:before="60" w:after="80" w:line="276" w:lineRule="auto"/>
      </w:pPr>
      <w:r>
        <w:rPr>
          <w:rFonts w:ascii="Calibri" w:hAnsi="Calibri"/>
          <w:b w:val="0"/>
          <w:i w:val="0"/>
          <w:color w:val="1E293B"/>
          <w:sz w:val="21"/>
        </w:rPr>
        <w:t>How to troubleshoot EAP-TLS failures in production: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40" w:after="40" w:line="252" w:lineRule="auto"/>
            </w:pPr>
            <w:r>
              <w:rPr>
                <w:rFonts w:ascii="Consolas" w:hAnsi="Consolas"/>
                <w:color w:val="E2E8F0"/>
                <w:sz w:val="19"/>
              </w:rPr>
              <w:t>Step 1: Check Windows Event Viewer -&gt; Server Roles -&gt; Network Policy Server:</w:t>
              <w:br/>
              <w:t xml:space="preserve">        - Event ID 6272: Access Granted (Success).</w:t>
              <w:br/>
              <w:t xml:space="preserve">        - Event ID 6273: Access Denied (Failure).</w:t>
              <w:br/>
              <w:br/>
              <w:t>Step 2: Decode Common Event ID 6273 Reason Codes:</w:t>
              <w:br/>
              <w:t xml:space="preserve">        - Reason 16 (Credentials mismatch): Client cert issued by CA not trusted by NPS.</w:t>
              <w:br/>
              <w:t xml:space="preserve">        - Reason 22 (EAP type not processed): Cert template missing Client Auth EKU, or cert expired.</w:t>
              <w:br/>
              <w:t xml:space="preserve">        - Reason 23 (EAP error): CRL distribution point unreachable or OCSP check timed out.</w:t>
              <w:br/>
              <w:t xml:space="preserve">        - Reason 48 (Account disabled): AD user or computer object associated with cert is disabled.</w:t>
              <w:br/>
              <w:br/>
              <w:t>Step 3: Client-Side Diagnostics:</w:t>
              <w:br/>
              <w:t xml:space="preserve">        - Windows: 'certmgr.msc' (Personal store), 'certlm.msc' (Trusted Root store),</w:t>
              <w:br/>
              <w:t xml:space="preserve">                   'netsh wlan show wlanreport', 'netsh wlan show interfaces'</w:t>
              <w:br/>
              <w:t xml:space="preserve">        - Verify NTP Clock Synchronization: Skew &gt; 5 mins causes hard TLS handshake failure.</w:t>
            </w:r>
          </w:p>
        </w:tc>
      </w:tr>
    </w:tbl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6. Core Deep Dive 4: Enterprise Routing, Switching &amp; Network Infrastructure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6.1 Layer 2 Switching &amp; Spanning Tree Protocol (STP)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802.1Q VLAN Tagging: </w:t>
      </w:r>
      <w:r>
        <w:rPr>
          <w:rFonts w:ascii="Calibri" w:hAnsi="Calibri"/>
          <w:color w:val="334155"/>
          <w:sz w:val="21"/>
        </w:rPr>
        <w:t>Inserts 4-byte tag into Ethernet header (TPID 0x8100, 12-bit VID for 4096 VLANs). Trunk ports carry tagged frames. Native VLAN carries untagged frames; always set Native VLAN to an unused ID (e.g. VLAN 999) to prevent double-tagging VLAN hopping.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STP (802.1D) vs RSTP (802.1w): </w:t>
      </w:r>
      <w:r>
        <w:rPr>
          <w:rFonts w:ascii="Calibri" w:hAnsi="Calibri"/>
          <w:color w:val="334155"/>
          <w:sz w:val="21"/>
        </w:rPr>
        <w:t>RSTP converges in sub-seconds using proposal/agreement handshakes. Bridge election: lowest Bridge ID (Priority + MAC) becomes Root Bridge.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STP Security Features: </w:t>
      </w:r>
      <w:r>
        <w:rPr>
          <w:rFonts w:ascii="Calibri" w:hAnsi="Calibri"/>
          <w:color w:val="334155"/>
          <w:sz w:val="21"/>
        </w:rPr>
        <w:t>PortFast (skips listening/learning on edge PC ports), BPDU Guard (err-disables edge ports if a rogue switch sends BPDUs), Root Guard (prevents rogue switches from becoming root), Loop Guard (prevents loops from unidirectional link failures).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6.2 Layer 2 Defense: DHCP Snooping, DAI, and IP Source Guard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DHCP Snooping: </w:t>
      </w:r>
      <w:r>
        <w:rPr>
          <w:rFonts w:ascii="Calibri" w:hAnsi="Calibri"/>
          <w:color w:val="334155"/>
          <w:sz w:val="21"/>
        </w:rPr>
        <w:t>Designates switch ports as Trusted (uplinks to DHCP server) or Untrusted (user access ports). Drops rogue DHCP offers on untrusted ports and builds the DHCP Snooping Binding Database.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Dynamic ARP Inspection (DAI): </w:t>
      </w:r>
      <w:r>
        <w:rPr>
          <w:rFonts w:ascii="Calibri" w:hAnsi="Calibri"/>
          <w:color w:val="334155"/>
          <w:sz w:val="21"/>
        </w:rPr>
        <w:t>Intercepts ARP packets on untrusted ports and validates IP-to-MAC bindings against the DHCP snooping table, completely preventing ARP poisoning and Man-in-the-Middle attacks.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IP Source Guard: </w:t>
      </w:r>
      <w:r>
        <w:rPr>
          <w:rFonts w:ascii="Calibri" w:hAnsi="Calibri"/>
          <w:color w:val="334155"/>
          <w:sz w:val="21"/>
        </w:rPr>
        <w:t>Dynamically filters traffic on untrusted ports to ensure packets match the assigned IP in the DHCP table, preventing IP address spoofing.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Port Security: </w:t>
      </w:r>
      <w:r>
        <w:rPr>
          <w:rFonts w:ascii="Calibri" w:hAnsi="Calibri"/>
          <w:color w:val="334155"/>
          <w:sz w:val="21"/>
        </w:rPr>
        <w:t>Restricts maximum MACs per port; 'mac-address sticky' saves learned MACs; violation modes include Protect, Restrict, and Shutdown (err-disable).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6.3 Layer 3 Routing &amp; OSPF Deep Dive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152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Prefix</w:t>
            </w:r>
          </w:p>
        </w:tc>
        <w:tc>
          <w:tcPr>
            <w:tcW w:type="dxa" w:w="2016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Subnet Mask</w:t>
            </w:r>
          </w:p>
        </w:tc>
        <w:tc>
          <w:tcPr>
            <w:tcW w:type="dxa" w:w="1296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Total IPs</w:t>
            </w:r>
          </w:p>
        </w:tc>
        <w:tc>
          <w:tcPr>
            <w:tcW w:type="dxa" w:w="1440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Usable Hosts</w:t>
            </w:r>
          </w:p>
        </w:tc>
        <w:tc>
          <w:tcPr>
            <w:tcW w:type="dxa" w:w="1296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Block Size</w:t>
            </w:r>
          </w:p>
        </w:tc>
        <w:tc>
          <w:tcPr>
            <w:tcW w:type="dxa" w:w="2592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Typical Use Case</w:t>
            </w:r>
          </w:p>
        </w:tc>
      </w:tr>
      <w:tr>
        <w:tc>
          <w:tcPr>
            <w:tcW w:type="dxa" w:w="115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/24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255.255.255.0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256</w:t>
            </w:r>
          </w:p>
        </w:tc>
        <w:tc>
          <w:tcPr>
            <w:tcW w:type="dxa" w:w="144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254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256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Standard Department / User VLAN</w:t>
            </w:r>
          </w:p>
        </w:tc>
      </w:tr>
      <w:tr>
        <w:tc>
          <w:tcPr>
            <w:tcW w:type="dxa" w:w="115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/25</w:t>
            </w:r>
          </w:p>
        </w:tc>
        <w:tc>
          <w:tcPr>
            <w:tcW w:type="dxa" w:w="20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255.255.255.128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128</w:t>
            </w:r>
          </w:p>
        </w:tc>
        <w:tc>
          <w:tcPr>
            <w:tcW w:type="dxa" w:w="144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126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128</w:t>
            </w:r>
          </w:p>
        </w:tc>
        <w:tc>
          <w:tcPr>
            <w:tcW w:type="dxa" w:w="259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Medium Subnet Segment</w:t>
            </w:r>
          </w:p>
        </w:tc>
      </w:tr>
      <w:tr>
        <w:tc>
          <w:tcPr>
            <w:tcW w:type="dxa" w:w="115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/26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255.255.255.192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64</w:t>
            </w:r>
          </w:p>
        </w:tc>
        <w:tc>
          <w:tcPr>
            <w:tcW w:type="dxa" w:w="144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62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64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Small Office / Management Subnet</w:t>
            </w:r>
          </w:p>
        </w:tc>
      </w:tr>
      <w:tr>
        <w:tc>
          <w:tcPr>
            <w:tcW w:type="dxa" w:w="115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/27</w:t>
            </w:r>
          </w:p>
        </w:tc>
        <w:tc>
          <w:tcPr>
            <w:tcW w:type="dxa" w:w="20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255.255.255.224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32</w:t>
            </w:r>
          </w:p>
        </w:tc>
        <w:tc>
          <w:tcPr>
            <w:tcW w:type="dxa" w:w="144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30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32</w:t>
            </w:r>
          </w:p>
        </w:tc>
        <w:tc>
          <w:tcPr>
            <w:tcW w:type="dxa" w:w="259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Server Farm / DMZ Segment</w:t>
            </w:r>
          </w:p>
        </w:tc>
      </w:tr>
      <w:tr>
        <w:tc>
          <w:tcPr>
            <w:tcW w:type="dxa" w:w="115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/28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255.255.255.240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16</w:t>
            </w:r>
          </w:p>
        </w:tc>
        <w:tc>
          <w:tcPr>
            <w:tcW w:type="dxa" w:w="144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14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16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Appliance Cluster / Voice Gateway</w:t>
            </w:r>
          </w:p>
        </w:tc>
      </w:tr>
      <w:tr>
        <w:tc>
          <w:tcPr>
            <w:tcW w:type="dxa" w:w="115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/29</w:t>
            </w:r>
          </w:p>
        </w:tc>
        <w:tc>
          <w:tcPr>
            <w:tcW w:type="dxa" w:w="20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255.255.255.248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8</w:t>
            </w:r>
          </w:p>
        </w:tc>
        <w:tc>
          <w:tcPr>
            <w:tcW w:type="dxa" w:w="144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6</w:t>
            </w:r>
          </w:p>
        </w:tc>
        <w:tc>
          <w:tcPr>
            <w:tcW w:type="dxa" w:w="129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8</w:t>
            </w:r>
          </w:p>
        </w:tc>
        <w:tc>
          <w:tcPr>
            <w:tcW w:type="dxa" w:w="2592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Public WAN Block / Firewall HA Cluster</w:t>
            </w:r>
          </w:p>
        </w:tc>
      </w:tr>
      <w:tr>
        <w:tc>
          <w:tcPr>
            <w:tcW w:type="dxa" w:w="115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/30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255.255.255.252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4</w:t>
            </w:r>
          </w:p>
        </w:tc>
        <w:tc>
          <w:tcPr>
            <w:tcW w:type="dxa" w:w="1440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2</w:t>
            </w:r>
          </w:p>
        </w:tc>
        <w:tc>
          <w:tcPr>
            <w:tcW w:type="dxa" w:w="129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4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Point-to-Point Router Links</w:t>
            </w:r>
          </w:p>
        </w:tc>
      </w:tr>
    </w:tbl>
    <w:p>
      <w:pPr>
        <w:spacing w:before="60" w:after="80" w:line="276" w:lineRule="auto"/>
      </w:pPr>
      <w:r>
        <w:rPr>
          <w:rFonts w:ascii="Calibri" w:hAnsi="Calibri"/>
          <w:b/>
          <w:i w:val="0"/>
          <w:color w:val="1E293B"/>
          <w:sz w:val="21"/>
        </w:rPr>
        <w:t>OSPF Neighbor Adjacency States (Must Memorize):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Down -&gt; Init -&gt; 2-Way -&gt; ExStart -&gt; Exchange -&gt; Loading -&gt; Full: </w:t>
      </w:r>
      <w:r>
        <w:rPr>
          <w:rFonts w:ascii="Calibri" w:hAnsi="Calibri"/>
          <w:color w:val="334155"/>
          <w:sz w:val="21"/>
        </w:rPr>
        <w:t>2-Way establishes bidirectional communication and triggers DR/BDR election. In ExStart, master/slave relationship is negotiated. Full indicates link-state databases are 100% synchronized.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Why OSPF Gets Stuck in ExStart: </w:t>
      </w:r>
      <w:r>
        <w:rPr>
          <w:rFonts w:ascii="Calibri" w:hAnsi="Calibri"/>
          <w:color w:val="334155"/>
          <w:sz w:val="21"/>
        </w:rPr>
        <w:t>MTU Mismatch! If one router interface has MTU 1500 and the neighbor has MTU 1492, the Database Description (DBD) packet exceeds MTU and drops, locking the neighbor state in ExStart.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7. Core Deep Dive 5: Network Monitoring, Troubleshooting &amp; Maintenance Operations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7.1 The OSI Model Systematic Troubleshooting Approach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Layer 1 (Physical): </w:t>
      </w:r>
      <w:r>
        <w:rPr>
          <w:rFonts w:ascii="Calibri" w:hAnsi="Calibri"/>
          <w:color w:val="334155"/>
          <w:sz w:val="21"/>
        </w:rPr>
        <w:t>Check link LEDs, fiber bend radius, SFP optical levels ('show interfaces transceiver detail'), CRC and input errors.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Layer 2 (Data Link): </w:t>
      </w:r>
      <w:r>
        <w:rPr>
          <w:rFonts w:ascii="Calibri" w:hAnsi="Calibri"/>
          <w:color w:val="334155"/>
          <w:sz w:val="21"/>
        </w:rPr>
        <w:t>Check duplex/speed mismatch, MAC address table, VLAN port assignment, and STP port blocking states.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Layer 3 (Network): </w:t>
      </w:r>
      <w:r>
        <w:rPr>
          <w:rFonts w:ascii="Calibri" w:hAnsi="Calibri"/>
          <w:color w:val="334155"/>
          <w:sz w:val="21"/>
        </w:rPr>
        <w:t>Verify IP/subnet mask, default gateway ping, DNS server ping, traceroute / mtr to locate dropped hops.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Layer 4 (Transport): </w:t>
      </w:r>
      <w:r>
        <w:rPr>
          <w:rFonts w:ascii="Calibri" w:hAnsi="Calibri"/>
          <w:color w:val="334155"/>
          <w:sz w:val="21"/>
        </w:rPr>
        <w:t>Verify TCP port reachability ('Test-NetConnection -Port 443', 'nc -zv'), firewall state tables, and ACL drops.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Layer 7 (Application): </w:t>
      </w:r>
      <w:r>
        <w:rPr>
          <w:rFonts w:ascii="Calibri" w:hAnsi="Calibri"/>
          <w:color w:val="334155"/>
          <w:sz w:val="21"/>
        </w:rPr>
        <w:t>Verify DNS resolution ('nslookup', 'dig'), SSL/TLS certificate validity, and proxy/gateway logs.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7.2 Wireshark Packet Analysis Cheatsheet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608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Wireshark Filter</w:t>
            </w:r>
          </w:p>
        </w:tc>
        <w:tc>
          <w:tcPr>
            <w:tcW w:type="dxa" w:w="5184"/>
            <w:shd w:fill="0F2C5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FFFFFF"/>
                <w:sz w:val="20"/>
              </w:rPr>
              <w:t>What It Pinpoints</w:t>
            </w:r>
          </w:p>
        </w:tc>
      </w:tr>
      <w:tr>
        <w:tc>
          <w:tcPr>
            <w:tcW w:type="dxa" w:w="460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ip.addr == 10.10.10.50 &amp;&amp; tcp.port == 443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Isolates all HTTPS traffic to/from a specific host.</w:t>
            </w:r>
          </w:p>
        </w:tc>
      </w:tr>
      <w:tr>
        <w:tc>
          <w:tcPr>
            <w:tcW w:type="dxa" w:w="460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tcp.flags.syn == 1 &amp;&amp; tcp.flags.ack == 0</w:t>
            </w:r>
          </w:p>
        </w:tc>
        <w:tc>
          <w:tcPr>
            <w:tcW w:type="dxa" w:w="5184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Filters pure TCP SYN connection initiation requests.</w:t>
            </w:r>
          </w:p>
        </w:tc>
      </w:tr>
      <w:tr>
        <w:tc>
          <w:tcPr>
            <w:tcW w:type="dxa" w:w="460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tcp.flags.reset == 1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Isolates TCP RST packets (aborted connections by firewall or closed port).</w:t>
            </w:r>
          </w:p>
        </w:tc>
      </w:tr>
      <w:tr>
        <w:tc>
          <w:tcPr>
            <w:tcW w:type="dxa" w:w="460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tcp.analysis.retransmission</w:t>
            </w:r>
          </w:p>
        </w:tc>
        <w:tc>
          <w:tcPr>
            <w:tcW w:type="dxa" w:w="5184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Identifies packet drops, congestion, or high latency on physical/WAN links.</w:t>
            </w:r>
          </w:p>
        </w:tc>
      </w:tr>
      <w:tr>
        <w:tc>
          <w:tcPr>
            <w:tcW w:type="dxa" w:w="460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tcp.analysis.zero_window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Indicates destination server receive buffer is full; cannot process data.</w:t>
            </w:r>
          </w:p>
        </w:tc>
      </w:tr>
      <w:tr>
        <w:tc>
          <w:tcPr>
            <w:tcW w:type="dxa" w:w="4608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dns.flags.response == 0</w:t>
            </w:r>
          </w:p>
        </w:tc>
        <w:tc>
          <w:tcPr>
            <w:tcW w:type="dxa" w:w="5184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Shows outgoing DNS queries without filtering responses.</w:t>
            </w:r>
          </w:p>
        </w:tc>
      </w:tr>
      <w:tr>
        <w:tc>
          <w:tcPr>
            <w:tcW w:type="dxa" w:w="4608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icmp.type == 3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Calibri" w:hAnsi="Calibri"/>
                <w:color w:val="1E293B"/>
                <w:sz w:val="19"/>
              </w:rPr>
              <w:t>Shows ICMP Destination Unreachable messages (host, port, or fragmentation needed).</w:t>
            </w:r>
          </w:p>
        </w:tc>
      </w:tr>
    </w:tbl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7.3 Network Maintenance &amp; Firmware Upgrade Runbook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Phase 1: Pre-Upgrade: </w:t>
      </w:r>
      <w:r>
        <w:rPr>
          <w:rFonts w:ascii="Calibri" w:hAnsi="Calibri"/>
          <w:color w:val="334155"/>
          <w:sz w:val="21"/>
        </w:rPr>
        <w:t>Review release notes; verify SHA-256 hash of firmware image; obtain CAB change approval; backup configs via TFTP/SCP; document pre-upgrade routing/STP baseline.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Phase 2: Execution: </w:t>
      </w:r>
      <w:r>
        <w:rPr>
          <w:rFonts w:ascii="Calibri" w:hAnsi="Calibri"/>
          <w:color w:val="334155"/>
          <w:sz w:val="21"/>
        </w:rPr>
        <w:t>Upload to secondary partition; update boot variable; in HA clusters, upgrade passive unit first, failover, monitor live traffic, then upgrade active unit.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Phase 3: Rollback Plan: </w:t>
      </w:r>
      <w:r>
        <w:rPr>
          <w:rFonts w:ascii="Calibri" w:hAnsi="Calibri"/>
          <w:color w:val="334155"/>
          <w:sz w:val="21"/>
        </w:rPr>
        <w:t>If core routes fail to converge or interfaces remain down after 20 minutes, immediately revert boot variable pointer to previous partition and reboot.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8. High-Impact STAR Behavioral Interview Scenarios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Scenario 1: Deploying EAP-TLS Wi-Fi Across Multi-Campus ISB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Situation: </w:t>
      </w:r>
      <w:r>
        <w:rPr>
          <w:rFonts w:ascii="Calibri" w:hAnsi="Calibri"/>
          <w:color w:val="334155"/>
          <w:sz w:val="21"/>
        </w:rPr>
        <w:t>1,100+ students and 350+ staff relied on shared WPA2-PSK passphrases, causing password leakage, no device accountability, and rogue connections.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Task: </w:t>
      </w:r>
      <w:r>
        <w:rPr>
          <w:rFonts w:ascii="Calibri" w:hAnsi="Calibri"/>
          <w:color w:val="334155"/>
          <w:sz w:val="21"/>
        </w:rPr>
        <w:t>Modernize network access control across laptops and supervised iPads using 802.1X certificate-based EAP-TLS.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Action: </w:t>
      </w:r>
      <w:r>
        <w:rPr>
          <w:rFonts w:ascii="Calibri" w:hAnsi="Calibri"/>
          <w:color w:val="334155"/>
          <w:sz w:val="21"/>
        </w:rPr>
        <w:t>Architected SCEP/NDES certificate distribution via Microsoft Intune; configured Windows NPS RADIUS policies; set up dynamic VLAN assignment on WLC/APs; and managed Barracuda NGFW content filtering.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Result: </w:t>
      </w:r>
      <w:r>
        <w:rPr>
          <w:rFonts w:ascii="Calibri" w:hAnsi="Calibri"/>
          <w:color w:val="334155"/>
          <w:sz w:val="21"/>
        </w:rPr>
        <w:t>Completely eliminated shared passphrases and evil-twin attack vectors; reduced Wi-Fi helpdesk tickets by 40%; provided full device auditability.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Scenario 2: Troubleshooting Sudden Network Outage / High Firewall Drop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Situation: </w:t>
      </w:r>
      <w:r>
        <w:rPr>
          <w:rFonts w:ascii="Calibri" w:hAnsi="Calibri"/>
          <w:color w:val="334155"/>
          <w:sz w:val="21"/>
        </w:rPr>
        <w:t>Users across multiple departments lost internet access during peak hours, while internal printing still worked.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Task: </w:t>
      </w:r>
      <w:r>
        <w:rPr>
          <w:rFonts w:ascii="Calibri" w:hAnsi="Calibri"/>
          <w:color w:val="334155"/>
          <w:sz w:val="21"/>
        </w:rPr>
        <w:t>Diagnose root cause, restore WAN connectivity, and prevent recurrence.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Action: </w:t>
      </w:r>
      <w:r>
        <w:rPr>
          <w:rFonts w:ascii="Calibri" w:hAnsi="Calibri"/>
          <w:color w:val="334155"/>
          <w:sz w:val="21"/>
        </w:rPr>
        <w:t>Ruled out L1/L2 since local LAN worked; checked Barracuda NGFW CPU and WAN saturation; filtered Live Log and found a rogue workstation flooding UDP packets from a malware infection; shut down the switch port and cleared firewall state tables.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Result: </w:t>
      </w:r>
      <w:r>
        <w:rPr>
          <w:rFonts w:ascii="Calibri" w:hAnsi="Calibri"/>
          <w:color w:val="334155"/>
          <w:sz w:val="21"/>
        </w:rPr>
        <w:t>Restored WAN connectivity within 12 minutes; quarantined infected endpoint; implemented egress UDP rate-limiting and updated IPS signatures.</w:t>
      </w:r>
    </w:p>
    <w:p>
      <w:pPr>
        <w:pStyle w:val="Heading2"/>
        <w:keepNext/>
        <w:spacing w:before="280" w:after="80"/>
      </w:pPr>
      <w:r>
        <w:rPr>
          <w:rFonts w:ascii="Segoe UI" w:hAnsi="Segoe UI"/>
          <w:b/>
          <w:color w:val="0284C7"/>
          <w:sz w:val="27"/>
        </w:rPr>
        <w:t>Scenario 3: Leading ISO 27001 Implementation &amp; Audit Readiness (EVYD Technology)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Situation: </w:t>
      </w:r>
      <w:r>
        <w:rPr>
          <w:rFonts w:ascii="Calibri" w:hAnsi="Calibri"/>
          <w:color w:val="334155"/>
          <w:sz w:val="21"/>
        </w:rPr>
        <w:t>EVYD Technology required ISO 27001 certification to validate its health data platform security.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Task: </w:t>
      </w:r>
      <w:r>
        <w:rPr>
          <w:rFonts w:ascii="Calibri" w:hAnsi="Calibri"/>
          <w:color w:val="334155"/>
          <w:sz w:val="21"/>
        </w:rPr>
        <w:t>Serve as ISMS Management Representative leading technical security controls across infrastructure.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Action: </w:t>
      </w:r>
      <w:r>
        <w:rPr>
          <w:rFonts w:ascii="Calibri" w:hAnsi="Calibri"/>
          <w:color w:val="334155"/>
          <w:sz w:val="21"/>
        </w:rPr>
        <w:t>Implemented firewall/WAF controls, Sentinel SIEM logging, vulnerability scans with Nessus, and standardized network documentation.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Result: </w:t>
      </w:r>
      <w:r>
        <w:rPr>
          <w:rFonts w:ascii="Calibri" w:hAnsi="Calibri"/>
          <w:color w:val="334155"/>
          <w:sz w:val="21"/>
        </w:rPr>
        <w:t>Achieved ISO 27001 certification with zero major non-conformities; established sustainable SOPs.</w:t>
      </w:r>
    </w:p>
    <w:p>
      <w:pPr>
        <w:pStyle w:val="Heading1"/>
        <w:keepNext/>
        <w:spacing w:before="360" w:after="120"/>
      </w:pPr>
      <w:r>
        <w:rPr>
          <w:rFonts w:ascii="Segoe UI" w:hAnsi="Segoe UI"/>
          <w:b/>
          <w:color w:val="0F2C59"/>
          <w:sz w:val="34"/>
        </w:rPr>
        <w:t>9. Strategic Questions to Ask ESCA Interviewers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1. Infrastructure Ecosystem: </w:t>
      </w:r>
      <w:r>
        <w:rPr>
          <w:rFonts w:ascii="Calibri" w:hAnsi="Calibri"/>
          <w:color w:val="334155"/>
          <w:sz w:val="21"/>
        </w:rPr>
        <w:t>"What is ESCA's primary network hardware and firewall ecosystem across client projects—is it predominantly Cisco, Fortinet, Aruba, or multi-vendor? How are you handling SD-WAN?"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2. Upcoming Projects: </w:t>
      </w:r>
      <w:r>
        <w:rPr>
          <w:rFonts w:ascii="Calibri" w:hAnsi="Calibri"/>
          <w:color w:val="334155"/>
          <w:sz w:val="21"/>
        </w:rPr>
        <w:t>"What are the most critical network infrastructure projects in ESCA's pipeline for the coming 6 to 12 months—such as campus overhauls, data center migrations, or wireless upgrades?"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3. Network Security Strategy: </w:t>
      </w:r>
      <w:r>
        <w:rPr>
          <w:rFonts w:ascii="Calibri" w:hAnsi="Calibri"/>
          <w:color w:val="334155"/>
          <w:sz w:val="21"/>
        </w:rPr>
        <w:t>"How is ESCA currently approaching network perimeter defense and access control—are clients transitioning toward Zero Trust segmentation, 802.1X certificate authentication, or identity-aware firewalls?"</w:t>
      </w:r>
    </w:p>
    <w:p>
      <w:pPr>
        <w:pStyle w:val="ListBullet"/>
        <w:spacing w:before="40" w:after="40" w:line="276" w:lineRule="auto"/>
      </w:pPr>
      <w:r>
        <w:rPr>
          <w:rFonts w:ascii="Calibri" w:hAnsi="Calibri"/>
          <w:b/>
          <w:color w:val="0F172A"/>
          <w:sz w:val="21"/>
        </w:rPr>
        <w:t xml:space="preserve">4. Professional Development: </w:t>
      </w:r>
      <w:r>
        <w:rPr>
          <w:rFonts w:ascii="Calibri" w:hAnsi="Calibri"/>
          <w:color w:val="334155"/>
          <w:sz w:val="21"/>
        </w:rPr>
        <w:t>"ESCA has a strong engineering footprint in Brunei. How does the company support engineering certifications and continuous development for network engineers on the team?"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